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1387BF3B" w:rsidR="002E26B7" w:rsidRPr="002E26B7" w:rsidRDefault="002E26B7" w:rsidP="002E26B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KLASA: 406-01/23-01/0</w:t>
      </w:r>
      <w:r w:rsidR="00FF08DC">
        <w:rPr>
          <w:rFonts w:ascii="Arial" w:hAnsi="Arial" w:cs="Arial"/>
          <w:bCs/>
          <w:color w:val="000000" w:themeColor="text1"/>
          <w:sz w:val="24"/>
          <w:szCs w:val="24"/>
        </w:rPr>
        <w:t>11</w:t>
      </w:r>
    </w:p>
    <w:p w14:paraId="7FFC408C" w14:textId="09144CA0" w:rsidR="002E26B7" w:rsidRPr="003418E6" w:rsidRDefault="002E26B7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URBROJ: 2178-24-01-23-</w:t>
      </w:r>
      <w:r w:rsidR="00CC62D5">
        <w:rPr>
          <w:rFonts w:ascii="Arial" w:hAnsi="Arial" w:cs="Arial"/>
          <w:bCs/>
          <w:color w:val="000000" w:themeColor="text1"/>
          <w:sz w:val="24"/>
          <w:szCs w:val="24"/>
        </w:rPr>
        <w:t>12</w:t>
      </w:r>
    </w:p>
    <w:p w14:paraId="04F3DDE9" w14:textId="2EE3ECEC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CC62D5">
        <w:rPr>
          <w:rFonts w:ascii="Arial" w:hAnsi="Arial" w:cs="Arial"/>
          <w:bCs/>
          <w:sz w:val="24"/>
          <w:szCs w:val="24"/>
        </w:rPr>
        <w:t>20</w:t>
      </w:r>
      <w:r w:rsidR="00D938D3">
        <w:rPr>
          <w:rFonts w:ascii="Arial" w:hAnsi="Arial" w:cs="Arial"/>
          <w:bCs/>
          <w:sz w:val="24"/>
          <w:szCs w:val="24"/>
        </w:rPr>
        <w:t>. rujna</w:t>
      </w:r>
      <w:r w:rsidR="00BB369B">
        <w:rPr>
          <w:rFonts w:ascii="Arial" w:hAnsi="Arial" w:cs="Arial"/>
          <w:bCs/>
          <w:sz w:val="24"/>
          <w:szCs w:val="24"/>
        </w:rPr>
        <w:t xml:space="preserve"> 202</w:t>
      </w:r>
      <w:r w:rsidR="002E26B7">
        <w:rPr>
          <w:rFonts w:ascii="Arial" w:hAnsi="Arial" w:cs="Arial"/>
          <w:bCs/>
          <w:sz w:val="24"/>
          <w:szCs w:val="24"/>
        </w:rPr>
        <w:t>3</w:t>
      </w:r>
      <w:r w:rsidR="00BB369B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4C52E431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FF08DC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>360-01/17-01/01</w:t>
      </w:r>
      <w:r w:rsidR="008B0726">
        <w:rPr>
          <w:rFonts w:ascii="Arial" w:hAnsi="Arial" w:cs="Arial"/>
          <w:b/>
          <w:color w:val="0070C0"/>
        </w:rPr>
        <w:t>,</w:t>
      </w:r>
      <w:r w:rsidR="00511C4E" w:rsidRPr="00F83059">
        <w:rPr>
          <w:rFonts w:ascii="Arial" w:hAnsi="Arial" w:cs="Arial"/>
          <w:b/>
          <w:color w:val="0070C0"/>
        </w:rPr>
        <w:t xml:space="preserve"> URBROJ: 2178/</w:t>
      </w:r>
      <w:r w:rsidR="00D938D3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 xml:space="preserve">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043F6A9C" w:rsidR="00511C4E" w:rsidRDefault="00D938D3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PONOVLJENI </w:t>
      </w:r>
      <w:r w:rsidR="00511C4E"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="00511C4E"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4802C986" w:rsidR="00511C4E" w:rsidRPr="00D15073" w:rsidRDefault="00FF08DC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IZGRADNJE AUTOBUSNOG STAJALIŠTA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1B385FC0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817CA5" w:rsidRPr="00817CA5">
        <w:rPr>
          <w:rFonts w:ascii="Arial" w:hAnsi="Arial" w:cs="Arial"/>
          <w:color w:val="0070C0"/>
          <w:sz w:val="24"/>
          <w:szCs w:val="24"/>
        </w:rPr>
        <w:t>45</w:t>
      </w:r>
      <w:r w:rsidR="003027CD">
        <w:rPr>
          <w:rFonts w:ascii="Arial" w:hAnsi="Arial" w:cs="Arial"/>
          <w:color w:val="0070C0"/>
          <w:sz w:val="24"/>
          <w:szCs w:val="24"/>
        </w:rPr>
        <w:t>213315-4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3073E7CC" w:rsidR="00511C4E" w:rsidRPr="00D15073" w:rsidRDefault="003027CD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16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 w:rsidR="00D816F0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AE0832B" w14:textId="77777777" w:rsidR="00FB1B57" w:rsidRDefault="00FB1B57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39510D95" w14:textId="5F91CD3C" w:rsidR="006A245B" w:rsidRDefault="00E80D84" w:rsidP="006A245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su radovi </w:t>
      </w:r>
      <w:bookmarkStart w:id="0" w:name="_Hlk126754411"/>
      <w:r w:rsidR="003027CD">
        <w:rPr>
          <w:rFonts w:ascii="Arial" w:hAnsi="Arial" w:cs="Arial"/>
          <w:sz w:val="22"/>
          <w:szCs w:val="22"/>
        </w:rPr>
        <w:t xml:space="preserve">izgradnje autobusnog stajališta </w:t>
      </w:r>
      <w:r w:rsidR="008115AF">
        <w:rPr>
          <w:rFonts w:ascii="Arial" w:hAnsi="Arial" w:cs="Arial"/>
          <w:sz w:val="22"/>
          <w:szCs w:val="22"/>
        </w:rPr>
        <w:t xml:space="preserve">u </w:t>
      </w:r>
      <w:r w:rsidR="00FB1B57">
        <w:rPr>
          <w:rFonts w:ascii="Arial" w:hAnsi="Arial" w:cs="Arial"/>
          <w:sz w:val="22"/>
          <w:szCs w:val="22"/>
        </w:rPr>
        <w:t xml:space="preserve">naselju </w:t>
      </w:r>
      <w:r w:rsidR="003027CD">
        <w:rPr>
          <w:rFonts w:ascii="Arial" w:hAnsi="Arial" w:cs="Arial"/>
          <w:sz w:val="22"/>
          <w:szCs w:val="22"/>
        </w:rPr>
        <w:t>Star</w:t>
      </w:r>
      <w:r w:rsidR="00FB1B57">
        <w:rPr>
          <w:rFonts w:ascii="Arial" w:hAnsi="Arial" w:cs="Arial"/>
          <w:sz w:val="22"/>
          <w:szCs w:val="22"/>
        </w:rPr>
        <w:t>a</w:t>
      </w:r>
      <w:r w:rsidR="003027CD">
        <w:rPr>
          <w:rFonts w:ascii="Arial" w:hAnsi="Arial" w:cs="Arial"/>
          <w:sz w:val="22"/>
          <w:szCs w:val="22"/>
        </w:rPr>
        <w:t xml:space="preserve"> Gradišk</w:t>
      </w:r>
      <w:r w:rsidR="00FB1B57">
        <w:rPr>
          <w:rFonts w:ascii="Arial" w:hAnsi="Arial" w:cs="Arial"/>
          <w:sz w:val="22"/>
          <w:szCs w:val="22"/>
        </w:rPr>
        <w:t>a</w:t>
      </w:r>
      <w:r w:rsidR="008115AF">
        <w:rPr>
          <w:rFonts w:ascii="Arial" w:hAnsi="Arial" w:cs="Arial"/>
          <w:sz w:val="22"/>
          <w:szCs w:val="22"/>
        </w:rPr>
        <w:t xml:space="preserve"> </w:t>
      </w:r>
      <w:bookmarkEnd w:id="0"/>
      <w:r w:rsidR="004A3C51" w:rsidRPr="008115AF">
        <w:rPr>
          <w:rFonts w:ascii="Arial" w:hAnsi="Arial" w:cs="Arial"/>
          <w:sz w:val="22"/>
          <w:szCs w:val="22"/>
        </w:rPr>
        <w:t xml:space="preserve">sukladno troškovniku iz priloga ovog Poziva na dostavu ponude.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Detaljan opis predmeta nabave, vrsta i opseg radova</w:t>
      </w:r>
      <w:r w:rsid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B0091" w:rsidRP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tehničke specifikacije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kao i posebni zahtjevi vezani za izvođenje istih utvrđeni su troškovnikom koji je sastavni dio ovog Poziva na 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dostavu ponude. </w:t>
      </w:r>
    </w:p>
    <w:p w14:paraId="0D5B68B7" w14:textId="6CFF110A" w:rsidR="00FB1B57" w:rsidRDefault="00FB1B57" w:rsidP="00FB1B57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 potrebu provedbe predmeta nabave 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>prethodn</w:t>
      </w:r>
      <w:r>
        <w:rPr>
          <w:rFonts w:ascii="Arial" w:hAnsi="Arial" w:cs="Arial"/>
          <w:color w:val="000000" w:themeColor="text1"/>
          <w:sz w:val="22"/>
          <w:szCs w:val="22"/>
        </w:rPr>
        <w:t>o je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izrađen</w:t>
      </w:r>
      <w:r>
        <w:rPr>
          <w:rFonts w:ascii="Arial" w:hAnsi="Arial" w:cs="Arial"/>
          <w:color w:val="000000" w:themeColor="text1"/>
          <w:sz w:val="22"/>
          <w:szCs w:val="22"/>
        </w:rPr>
        <w:t>a potrebna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projektn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dokumentacij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95080B" w14:textId="0937B616" w:rsidR="004A3C51" w:rsidRP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7A623A47" w14:textId="5F6FCC00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7B0091">
        <w:rPr>
          <w:rFonts w:ascii="Arial" w:hAnsi="Arial" w:cs="Arial"/>
          <w:sz w:val="22"/>
          <w:szCs w:val="22"/>
        </w:rPr>
        <w:t>16</w:t>
      </w:r>
      <w:r w:rsidR="008115AF">
        <w:rPr>
          <w:rFonts w:ascii="Arial" w:hAnsi="Arial" w:cs="Arial"/>
          <w:sz w:val="22"/>
          <w:szCs w:val="22"/>
        </w:rPr>
        <w:t>/23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25629D0C" w14:textId="3C171D5A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7B0091">
        <w:rPr>
          <w:rFonts w:ascii="Arial" w:hAnsi="Arial" w:cs="Arial"/>
          <w:color w:val="000000" w:themeColor="text1"/>
          <w:sz w:val="22"/>
          <w:szCs w:val="22"/>
        </w:rPr>
        <w:t>52.6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7C84E550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Završetak:</w:t>
      </w:r>
      <w:r w:rsidR="000E5216" w:rsidRPr="004A3C51">
        <w:rPr>
          <w:rFonts w:ascii="Arial" w:hAnsi="Arial" w:cs="Arial"/>
        </w:rPr>
        <w:t xml:space="preserve"> </w:t>
      </w:r>
      <w:r w:rsidR="007B0091">
        <w:rPr>
          <w:rFonts w:ascii="Arial" w:hAnsi="Arial" w:cs="Arial"/>
        </w:rPr>
        <w:t>9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7C03C969" w14:textId="77777777" w:rsidR="00D01B8B" w:rsidRPr="00D01B8B" w:rsidRDefault="00D01B8B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3A32AC" w14:textId="6599D2E2"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3B6F9D">
        <w:rPr>
          <w:rFonts w:ascii="Arial" w:hAnsi="Arial" w:cs="Arial"/>
          <w:color w:val="000000"/>
        </w:rPr>
        <w:t>40</w:t>
      </w:r>
      <w:r w:rsidR="00261B41">
        <w:rPr>
          <w:rFonts w:ascii="Arial" w:hAnsi="Arial" w:cs="Arial"/>
          <w:color w:val="000000"/>
        </w:rPr>
        <w:t>.000,00 eura</w:t>
      </w:r>
      <w:r w:rsidRPr="004A3C51">
        <w:rPr>
          <w:rFonts w:ascii="Arial" w:hAnsi="Arial" w:cs="Arial"/>
          <w:color w:val="000000"/>
        </w:rPr>
        <w:t>.</w:t>
      </w:r>
    </w:p>
    <w:p w14:paraId="6DB6EC30" w14:textId="7509E8B5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261B41">
        <w:rPr>
          <w:rFonts w:ascii="Arial" w:hAnsi="Arial" w:cs="Arial"/>
        </w:rPr>
        <w:t>3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70FD9CBD" w14:textId="77777777" w:rsidR="003B6F9D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</w:p>
    <w:p w14:paraId="705DD069" w14:textId="77777777" w:rsidR="003B6F9D" w:rsidRPr="004A3C51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lastRenderedPageBreak/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5265E9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3B6F9D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9776C7F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77777777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770AF8D1" w14:textId="77777777" w:rsidR="00AD3A7D" w:rsidRDefault="00AD3A7D" w:rsidP="00AD3A7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0F946AEA" w14:textId="77777777" w:rsidR="00AD3A7D" w:rsidRPr="00D26FEE" w:rsidRDefault="00AD3A7D" w:rsidP="00AD3A7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4BD63E2B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51BC312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4517865F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28AB5AA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E681BB8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1D1A0D64" w14:textId="6303BB75" w:rsidR="00AD3A7D" w:rsidRPr="00AD3A7D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2B6001DF" w:rsidR="006A54D4" w:rsidRPr="003B6F9D" w:rsidRDefault="006A54D4" w:rsidP="003B6F9D">
      <w:pPr>
        <w:pStyle w:val="Odlomakpopisa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B6F9D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7D3EDC88" w14:textId="77777777" w:rsidR="00AD3A7D" w:rsidRPr="004A3C51" w:rsidRDefault="00AD3A7D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AA8291" w14:textId="25009E14" w:rsidR="00261B4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3B6F9D">
        <w:rPr>
          <w:rFonts w:ascii="Arial" w:hAnsi="Arial" w:cs="Arial"/>
          <w:b/>
        </w:rPr>
        <w:t xml:space="preserve">izgradnje autobusnog </w:t>
      </w:r>
      <w:r w:rsidR="00280260">
        <w:rPr>
          <w:rFonts w:ascii="Arial" w:hAnsi="Arial" w:cs="Arial"/>
          <w:b/>
        </w:rPr>
        <w:t>stajališta</w:t>
      </w: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4D266EC8" w14:textId="77777777" w:rsidR="00AD3A7D" w:rsidRDefault="00AD3A7D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5908C423" w14:textId="77777777" w:rsidR="00AD3A7D" w:rsidRDefault="00AD3A7D" w:rsidP="00AD3A7D">
      <w:pPr>
        <w:pStyle w:val="Odlomakpopisa"/>
        <w:spacing w:after="0" w:line="240" w:lineRule="auto"/>
        <w:ind w:left="851"/>
        <w:rPr>
          <w:rFonts w:ascii="Arial" w:hAnsi="Arial" w:cs="Arial"/>
        </w:rPr>
      </w:pP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0F1CFF91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CC62D5">
        <w:rPr>
          <w:rFonts w:ascii="Arial" w:hAnsi="Arial" w:cs="Arial"/>
          <w:b/>
          <w:color w:val="000000" w:themeColor="text1"/>
        </w:rPr>
        <w:t>28</w:t>
      </w:r>
      <w:r w:rsidR="003B6F9D">
        <w:rPr>
          <w:rFonts w:ascii="Arial" w:hAnsi="Arial" w:cs="Arial"/>
          <w:b/>
          <w:color w:val="000000" w:themeColor="text1"/>
        </w:rPr>
        <w:t>. rujna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3B6F9D">
        <w:rPr>
          <w:rFonts w:ascii="Arial" w:hAnsi="Arial" w:cs="Arial"/>
          <w:b/>
          <w:color w:val="000000" w:themeColor="text1"/>
        </w:rPr>
        <w:t>3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BC085C1" w:rsidR="00B56562" w:rsidRPr="006B159E" w:rsidRDefault="00B56562" w:rsidP="006B159E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B159E">
        <w:rPr>
          <w:rFonts w:ascii="Arial" w:hAnsi="Arial" w:cs="Arial"/>
          <w:b/>
        </w:rPr>
        <w:t>Kriterij odabira ponude</w:t>
      </w:r>
      <w:r w:rsidRPr="006B159E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66E2BF6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4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2824172C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CC62D5">
        <w:rPr>
          <w:rFonts w:ascii="Arial" w:hAnsi="Arial" w:cs="Arial"/>
          <w:b/>
        </w:rPr>
        <w:t>28</w:t>
      </w:r>
      <w:r w:rsidR="00BB369B" w:rsidRPr="00BB369B">
        <w:rPr>
          <w:rFonts w:ascii="Arial" w:hAnsi="Arial" w:cs="Arial"/>
          <w:b/>
        </w:rPr>
        <w:t xml:space="preserve">. </w:t>
      </w:r>
      <w:r w:rsidR="003B6F9D">
        <w:rPr>
          <w:rFonts w:ascii="Arial" w:hAnsi="Arial" w:cs="Arial"/>
          <w:b/>
        </w:rPr>
        <w:t xml:space="preserve">rujna </w:t>
      </w:r>
      <w:r w:rsidR="00817CA5">
        <w:rPr>
          <w:rFonts w:ascii="Arial" w:hAnsi="Arial" w:cs="Arial"/>
          <w:b/>
          <w:color w:val="000000" w:themeColor="text1"/>
        </w:rPr>
        <w:t>202</w:t>
      </w:r>
      <w:r w:rsidR="003B6F9D">
        <w:rPr>
          <w:rFonts w:ascii="Arial" w:hAnsi="Arial" w:cs="Arial"/>
          <w:b/>
          <w:color w:val="000000" w:themeColor="text1"/>
        </w:rPr>
        <w:t>3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771EF52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1D51FB13" w:rsidR="00657B91" w:rsidRPr="006B159E" w:rsidRDefault="00B56562" w:rsidP="006B159E">
      <w:pPr>
        <w:pStyle w:val="Odlomakpopisa"/>
        <w:numPr>
          <w:ilvl w:val="0"/>
          <w:numId w:val="3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6B159E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644F8B46" w:rsidR="00B56562" w:rsidRDefault="00CC62D5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20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D938D3">
        <w:rPr>
          <w:rFonts w:ascii="Arial" w:hAnsi="Arial" w:cs="Arial"/>
          <w:bCs/>
          <w:color w:val="000000" w:themeColor="text1"/>
        </w:rPr>
        <w:t>09.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EE06C3">
        <w:rPr>
          <w:rFonts w:ascii="Arial" w:hAnsi="Arial" w:cs="Arial"/>
          <w:bCs/>
          <w:color w:val="000000" w:themeColor="text1"/>
        </w:rPr>
        <w:t>3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EE06C3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0C45E2E4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DA24DF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C0573D6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382C97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0AD6613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E0924A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F88AED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C67BA6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D8224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C9A83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A70422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76F1312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2AC431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7BE72A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D79878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AADDB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6542A9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669E1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9115B1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24953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942CF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451DAD7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D86EF1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CD9971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58B3E2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1D3BC9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DDA57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DAFB64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B39E10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F474186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CC2BF6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A7D84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860D9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2891DF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3B6680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D70CD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AF16A6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49C275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51F87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97BE88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84D3F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30CDD5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D5E58D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AEBFDA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8AAB1A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B16939D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BBD18D7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1A8843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A955C09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167A2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A0EB0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8BC366" w14:textId="77777777" w:rsidR="003B6F9D" w:rsidRPr="00BB369B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6A88BF7" w14:textId="77777777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22A0FFEB"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486B08E1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3B6F9D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izgradnje autobusnog </w:t>
      </w:r>
      <w:r w:rsidR="00280260">
        <w:rPr>
          <w:rFonts w:ascii="Arial" w:hAnsi="Arial" w:cs="Arial"/>
          <w:b/>
          <w:bCs/>
          <w:iCs/>
          <w:color w:val="000000"/>
          <w:sz w:val="20"/>
          <w:szCs w:val="20"/>
        </w:rPr>
        <w:t>stajališta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438425D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2358E2" w14:textId="77777777" w:rsidR="003B6F9D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6D257C6D" w:rsidR="00511C4E" w:rsidRDefault="00511C4E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II.</w:t>
      </w:r>
    </w:p>
    <w:p w14:paraId="290876D8" w14:textId="77777777" w:rsidR="003B6F9D" w:rsidRPr="00657B91" w:rsidRDefault="003B6F9D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303BDB4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77777777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>PRILOG III.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66FD1116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EE06C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9F7E25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B1B57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B399" w14:textId="77777777" w:rsidR="00DB7443" w:rsidRDefault="00DB7443" w:rsidP="006A54D4">
      <w:pPr>
        <w:spacing w:after="0" w:line="240" w:lineRule="auto"/>
      </w:pPr>
      <w:r>
        <w:separator/>
      </w:r>
    </w:p>
  </w:endnote>
  <w:endnote w:type="continuationSeparator" w:id="0">
    <w:p w14:paraId="19F50798" w14:textId="77777777" w:rsidR="00DB7443" w:rsidRDefault="00DB7443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81F8" w14:textId="77777777" w:rsidR="00DB7443" w:rsidRDefault="00DB7443" w:rsidP="006A54D4">
      <w:pPr>
        <w:spacing w:after="0" w:line="240" w:lineRule="auto"/>
      </w:pPr>
      <w:r>
        <w:separator/>
      </w:r>
    </w:p>
  </w:footnote>
  <w:footnote w:type="continuationSeparator" w:id="0">
    <w:p w14:paraId="1E253774" w14:textId="77777777" w:rsidR="00DB7443" w:rsidRDefault="00DB7443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00C4A8E"/>
    <w:multiLevelType w:val="hybridMultilevel"/>
    <w:tmpl w:val="E25A32F4"/>
    <w:lvl w:ilvl="0" w:tplc="26F4B5B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AD2FBE"/>
    <w:multiLevelType w:val="hybridMultilevel"/>
    <w:tmpl w:val="7AA4850A"/>
    <w:lvl w:ilvl="0" w:tplc="65F27C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2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5"/>
  </w:num>
  <w:num w:numId="2" w16cid:durableId="2090930363">
    <w:abstractNumId w:val="32"/>
  </w:num>
  <w:num w:numId="3" w16cid:durableId="844827163">
    <w:abstractNumId w:val="2"/>
  </w:num>
  <w:num w:numId="4" w16cid:durableId="442112220">
    <w:abstractNumId w:val="13"/>
  </w:num>
  <w:num w:numId="5" w16cid:durableId="287124004">
    <w:abstractNumId w:val="5"/>
  </w:num>
  <w:num w:numId="6" w16cid:durableId="1489831177">
    <w:abstractNumId w:val="24"/>
  </w:num>
  <w:num w:numId="7" w16cid:durableId="399520552">
    <w:abstractNumId w:val="23"/>
  </w:num>
  <w:num w:numId="8" w16cid:durableId="117214287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5"/>
  </w:num>
  <w:num w:numId="10" w16cid:durableId="1544175350">
    <w:abstractNumId w:val="9"/>
  </w:num>
  <w:num w:numId="11" w16cid:durableId="703596600">
    <w:abstractNumId w:val="29"/>
  </w:num>
  <w:num w:numId="12" w16cid:durableId="576208666">
    <w:abstractNumId w:val="0"/>
  </w:num>
  <w:num w:numId="13" w16cid:durableId="962343037">
    <w:abstractNumId w:val="15"/>
  </w:num>
  <w:num w:numId="14" w16cid:durableId="69498889">
    <w:abstractNumId w:val="30"/>
  </w:num>
  <w:num w:numId="15" w16cid:durableId="1971016623">
    <w:abstractNumId w:val="33"/>
  </w:num>
  <w:num w:numId="16" w16cid:durableId="714082052">
    <w:abstractNumId w:val="20"/>
  </w:num>
  <w:num w:numId="17" w16cid:durableId="796802041">
    <w:abstractNumId w:val="27"/>
  </w:num>
  <w:num w:numId="18" w16cid:durableId="76483567">
    <w:abstractNumId w:val="17"/>
  </w:num>
  <w:num w:numId="19" w16cid:durableId="529611116">
    <w:abstractNumId w:val="31"/>
  </w:num>
  <w:num w:numId="20" w16cid:durableId="722026716">
    <w:abstractNumId w:val="21"/>
  </w:num>
  <w:num w:numId="21" w16cid:durableId="1538003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8"/>
  </w:num>
  <w:num w:numId="24" w16cid:durableId="769549158">
    <w:abstractNumId w:val="37"/>
  </w:num>
  <w:num w:numId="25" w16cid:durableId="815877308">
    <w:abstractNumId w:val="28"/>
  </w:num>
  <w:num w:numId="26" w16cid:durableId="1685546317">
    <w:abstractNumId w:val="22"/>
  </w:num>
  <w:num w:numId="27" w16cid:durableId="2143688002">
    <w:abstractNumId w:val="4"/>
  </w:num>
  <w:num w:numId="28" w16cid:durableId="1402366795">
    <w:abstractNumId w:val="25"/>
  </w:num>
  <w:num w:numId="29" w16cid:durableId="192429534">
    <w:abstractNumId w:val="19"/>
  </w:num>
  <w:num w:numId="30" w16cid:durableId="292909007">
    <w:abstractNumId w:val="14"/>
  </w:num>
  <w:num w:numId="31" w16cid:durableId="1114784484">
    <w:abstractNumId w:val="34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6"/>
  </w:num>
  <w:num w:numId="35" w16cid:durableId="978798945">
    <w:abstractNumId w:val="6"/>
  </w:num>
  <w:num w:numId="36" w16cid:durableId="1432361047">
    <w:abstractNumId w:val="16"/>
  </w:num>
  <w:num w:numId="37" w16cid:durableId="632058803">
    <w:abstractNumId w:val="26"/>
  </w:num>
  <w:num w:numId="38" w16cid:durableId="1562208036">
    <w:abstractNumId w:val="7"/>
  </w:num>
  <w:num w:numId="39" w16cid:durableId="715812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498E"/>
    <w:rsid w:val="00124CF1"/>
    <w:rsid w:val="0013354A"/>
    <w:rsid w:val="00162B12"/>
    <w:rsid w:val="00163B48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80260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027CD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B6F9D"/>
    <w:rsid w:val="003E2E05"/>
    <w:rsid w:val="003E5269"/>
    <w:rsid w:val="003E79BB"/>
    <w:rsid w:val="004271E4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245B"/>
    <w:rsid w:val="006A54D4"/>
    <w:rsid w:val="006B159E"/>
    <w:rsid w:val="006C1184"/>
    <w:rsid w:val="006D2C0C"/>
    <w:rsid w:val="006D4E44"/>
    <w:rsid w:val="006D723E"/>
    <w:rsid w:val="006E5857"/>
    <w:rsid w:val="006F21ED"/>
    <w:rsid w:val="00716AC2"/>
    <w:rsid w:val="00775CE7"/>
    <w:rsid w:val="0077600A"/>
    <w:rsid w:val="0078095F"/>
    <w:rsid w:val="007974D4"/>
    <w:rsid w:val="007B0091"/>
    <w:rsid w:val="007B117E"/>
    <w:rsid w:val="007B2B62"/>
    <w:rsid w:val="007D1A4B"/>
    <w:rsid w:val="007E69FF"/>
    <w:rsid w:val="008115AF"/>
    <w:rsid w:val="00811635"/>
    <w:rsid w:val="00817CA5"/>
    <w:rsid w:val="00871D01"/>
    <w:rsid w:val="00881067"/>
    <w:rsid w:val="00891352"/>
    <w:rsid w:val="008B0726"/>
    <w:rsid w:val="008B526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D3A7D"/>
    <w:rsid w:val="00AF1A00"/>
    <w:rsid w:val="00AF4123"/>
    <w:rsid w:val="00B02DA0"/>
    <w:rsid w:val="00B106C1"/>
    <w:rsid w:val="00B263C1"/>
    <w:rsid w:val="00B31E54"/>
    <w:rsid w:val="00B56562"/>
    <w:rsid w:val="00B621FE"/>
    <w:rsid w:val="00B872AD"/>
    <w:rsid w:val="00B954F3"/>
    <w:rsid w:val="00B9681F"/>
    <w:rsid w:val="00BA1B68"/>
    <w:rsid w:val="00BB369B"/>
    <w:rsid w:val="00BB406A"/>
    <w:rsid w:val="00BD705B"/>
    <w:rsid w:val="00BD7863"/>
    <w:rsid w:val="00BF3220"/>
    <w:rsid w:val="00C21CC7"/>
    <w:rsid w:val="00C6776A"/>
    <w:rsid w:val="00C9040B"/>
    <w:rsid w:val="00CC612B"/>
    <w:rsid w:val="00CC62D5"/>
    <w:rsid w:val="00CD3769"/>
    <w:rsid w:val="00CF6353"/>
    <w:rsid w:val="00D01B8B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938D3"/>
    <w:rsid w:val="00DA468B"/>
    <w:rsid w:val="00DB149E"/>
    <w:rsid w:val="00DB6183"/>
    <w:rsid w:val="00DB744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6C3"/>
    <w:rsid w:val="00EE0B8F"/>
    <w:rsid w:val="00EE7DF2"/>
    <w:rsid w:val="00F2176D"/>
    <w:rsid w:val="00F22F43"/>
    <w:rsid w:val="00F246D5"/>
    <w:rsid w:val="00F62744"/>
    <w:rsid w:val="00F7422D"/>
    <w:rsid w:val="00F83519"/>
    <w:rsid w:val="00F840CA"/>
    <w:rsid w:val="00FA0A65"/>
    <w:rsid w:val="00FB1B57"/>
    <w:rsid w:val="00FC3030"/>
    <w:rsid w:val="00FC41E0"/>
    <w:rsid w:val="00FD70FE"/>
    <w:rsid w:val="00FD77B9"/>
    <w:rsid w:val="00FE4A92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11</cp:revision>
  <cp:lastPrinted>2023-08-22T11:56:00Z</cp:lastPrinted>
  <dcterms:created xsi:type="dcterms:W3CDTF">2023-08-22T10:41:00Z</dcterms:created>
  <dcterms:modified xsi:type="dcterms:W3CDTF">2023-09-20T06:35:00Z</dcterms:modified>
</cp:coreProperties>
</file>